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bookmarkStart w:colFirst="0" w:colLast="0" w:name="_quhdpuncxot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UNIWERSYTET WARSZAWSKI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WYDZIAŁ MEDYCZNY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KIERUNEK LEKARSKI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 ROK STUDIÓW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DZIENNIK PRAKTYK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Wymiar praktyk: 4 tygodnie (120 godzin), ECTS 4,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w zakresie opieki nad chorym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 studenta)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(numer albumu)</w:t>
      </w:r>
    </w:p>
    <w:p w:rsidR="00000000" w:rsidDel="00000000" w:rsidP="00000000" w:rsidRDefault="00000000" w:rsidRPr="00000000" w14:paraId="0000000F">
      <w:pPr>
        <w:spacing w:after="0"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rok akademicki: ……………………………………………..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Podmiot Leczniczy, w którym odbywa się praktyka zawodowa.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Nazwa:…………………………………………………………………………………………………………………………………………………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Adres:…………………………………………………………………………………………………………………………………………………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2c5f8a" w:space="1" w:sz="4" w:val="single"/>
        </w:pBdr>
        <w:spacing w:after="100" w:before="26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c5f8a"/>
          <w:rtl w:val="0"/>
        </w:rPr>
        <w:t xml:space="preserve">II. Efekty uczenia się przypisane do praktyk zawodowych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W ramach praktycznego nauczania realizowane są efekty kształcenia zawarte w standardach kształcenia dla kierunku lekarskiego. Każdej umiejętności przypisano poziom realizacji:</w:t>
      </w:r>
      <w:r w:rsidDel="00000000" w:rsidR="00000000" w:rsidRPr="00000000">
        <w:rPr>
          <w:rtl w:val="0"/>
        </w:rPr>
      </w:r>
    </w:p>
    <w:tbl>
      <w:tblPr>
        <w:tblStyle w:val="Table1"/>
        <w:tblW w:w="8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7660"/>
        <w:tblGridChange w:id="0">
          <w:tblGrid>
            <w:gridCol w:w="700"/>
            <w:gridCol w:w="7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umiejętność A – czynności z nią związane student wykonuje prawidłowo i w pełni samodzielnie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.9667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umiejętność B – student zna zasady wykonywania czynności z nią związanych, potrafi przy nich asystować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80" w:before="20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A. Procedury medyczne</w:t>
      </w: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4065"/>
        <w:gridCol w:w="870"/>
        <w:gridCol w:w="630"/>
        <w:gridCol w:w="1245"/>
        <w:gridCol w:w="1950"/>
        <w:tblGridChange w:id="0">
          <w:tblGrid>
            <w:gridCol w:w="420"/>
            <w:gridCol w:w="4065"/>
            <w:gridCol w:w="870"/>
            <w:gridCol w:w="630"/>
            <w:gridCol w:w="1245"/>
            <w:gridCol w:w="195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Procedura medyczna – student potrafi: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Efekt uczenia się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Poziom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Zaliczenie (zal/niezal)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Potwierdzenie koordynatora (podpis i pieczątka)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Wykonać pomiar i ocenę podstawowych funkcji życiowych (temperatura, tętno, ciśnienie tętnicze krwi) oraz monitorowanie ich z wykorzystaniem kardiomonitora i pulsoksymetru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E.U14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Zastosować różne formy terapii inhalacyjnej i dokonać doboru inhalatora do stanu klinicznego pacjenta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Wykonać pomiar szczytowego przepływu wydechowego (PEF)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Stosować tlenoterapię przy użyciu metod nieinwazyjnych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Bezprzyrządowo udrożnić drogi oddechowe; zna zasady udrażniania przyrządowego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Podać lek dożylnie, domięśniowo i podskórnie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Pobierać i zabezpieczać krew do badań laboratoryjnych, w tym mikrobiologicznych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Pobrać krew tętniczą, arterializowaną i włośniczkową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Pobrać wymazy do badań mikrobiologicznych i cytologicznych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Założyć cewnik do pęcherza moczowego u kobiety i mężczyzny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Założyć zgłębnik żołądkowy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Wykonać wlewkę doodbytniczą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Wykonać standardowy elektrokardiogram spoczynkowy i zinterpretować jego wynik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Wykonać defibrylację, kardiowersję elektryczną i elektrostymulację zewnętrzną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56404"/>
                <w:sz w:val="17"/>
                <w:szCs w:val="17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Wykonać testy paskowe, w tym pomiar stężenia glukozy przy pomocy glukometru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Zastosować środki ochrony indywidualnej adekwatne do sytuacji klinicznej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E.U15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55724"/>
                <w:sz w:val="17"/>
                <w:szCs w:val="17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80" w:before="16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c5f8a"/>
          <w:sz w:val="17"/>
          <w:szCs w:val="17"/>
          <w:rtl w:val="0"/>
        </w:rPr>
        <w:t xml:space="preserve">Uwaga: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Przed przystąpieniem do procedur student zapoznaje się z zakresem działalności oddziału, zasadami pracy i prowadzeniem dokumentacji medycznej. Fakt ten potwierdza koordynator praktyki.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80" w:before="2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0"/>
          <w:szCs w:val="20"/>
          <w:rtl w:val="0"/>
        </w:rPr>
        <w:t xml:space="preserve">B. Kompetencje społeczne</w:t>
      </w:r>
      <w:r w:rsidDel="00000000" w:rsidR="00000000" w:rsidRPr="00000000">
        <w:rPr>
          <w:rtl w:val="0"/>
        </w:rPr>
      </w:r>
    </w:p>
    <w:tbl>
      <w:tblPr>
        <w:tblStyle w:val="Table3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5160"/>
        <w:gridCol w:w="900"/>
        <w:gridCol w:w="960"/>
        <w:gridCol w:w="1380"/>
        <w:tblGridChange w:id="0">
          <w:tblGrid>
            <w:gridCol w:w="420"/>
            <w:gridCol w:w="5160"/>
            <w:gridCol w:w="900"/>
            <w:gridCol w:w="960"/>
            <w:gridCol w:w="13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2c5f8a" w:val="clear"/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2c5f8a" w:val="clear"/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Kompetencja społeczna – student demonstruje zdolność: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2c5f8a" w:val="clear"/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Efekt uczenia się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2c5f8a" w:val="clear"/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Zaliczenie (zal/niezal)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2c5f8a" w:val="clear"/>
            <w:tcMar>
              <w:top w:w="100.0" w:type="dxa"/>
              <w:left w:w="130.0" w:type="dxa"/>
              <w:bottom w:w="10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Potwierdzenie koordynatora (podpis i pieczątka)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Nawiązania i utrzymania głębokiego oraz pełnego szacunku kontaktu z pacjentem, a także okazywania zrozumienia dla różnic światopoglądowych i kulturowych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K_K1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Kierowania się dobrem pacjenta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K_K2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Przestrzegania tajemnicy lekarskiej i praw pacjenta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K_K3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Podejmowania działań wobec pacjenta w oparciu o zasady etyczne, ze świadomością społecznych uwarunkowań i ograniczeń wynikających z choroby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K_K4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Dostrzegania i rozpoznawania własnych ograniczeń oraz dokonywania samooceny deficytów i potrzeb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K_K5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Propagowania zachowań prozdrowotnych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K_K6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Formułowania wniosków z własnych pomiarów lub obserwacji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K_K8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Wdrażania zasad koleżeństwa zawodowego i współpracy w zespole, w tym z przedstawicielami innych zawodów medycznych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K_K9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fffff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7"/>
                <w:szCs w:val="17"/>
                <w:rtl w:val="0"/>
              </w:rPr>
              <w:t xml:space="preserve">Przyjęcia odpowiedzialności związanej z decyzjami podejmowanymi w ramach działalności zawodowej, w tym w kategoriach bezpieczeństwa własnego i innych osób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eaf4fb" w:val="clear"/>
            <w:tcMar>
              <w:top w:w="80.0" w:type="dxa"/>
              <w:left w:w="130.0" w:type="dxa"/>
              <w:bottom w:w="8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7"/>
                <w:szCs w:val="17"/>
                <w:rtl w:val="0"/>
              </w:rPr>
              <w:t xml:space="preserve">K_K11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c5f8a" w:space="0" w:sz="4" w:val="single"/>
              <w:left w:color="2c5f8a" w:space="0" w:sz="4" w:val="single"/>
              <w:bottom w:color="2c5f8a" w:space="0" w:sz="4" w:val="single"/>
              <w:right w:color="2c5f8a" w:space="0" w:sz="4" w:val="single"/>
            </w:tcBorders>
            <w:shd w:fill="fafafa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Bdr>
          <w:bottom w:color="2c5f8a" w:space="1" w:sz="4" w:val="single"/>
        </w:pBdr>
        <w:spacing w:after="60" w:before="30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c5f8a"/>
          <w:rtl w:val="0"/>
        </w:rPr>
        <w:t xml:space="preserve">III. Opinia koordynatora praktyki w podmiocie leczniczym o przebiegu praktyk i osiągniętych efektach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60" w:before="10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60" w:before="6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60" w:before="16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Data i podpis koordynatora: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bottom w:color="2c5f8a" w:space="1" w:sz="4" w:val="single"/>
        </w:pBdr>
        <w:spacing w:after="60" w:before="30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c5f8a"/>
          <w:rtl w:val="0"/>
        </w:rPr>
        <w:t xml:space="preserve">IV. Samoocena studenta w zakresie nabytych umiejętności medycznych i kompetencji społecznych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60" w:before="10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60" w:before="6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60" w:before="16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Data i podpis studenta: 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bottom w:color="2c5f8a" w:space="1" w:sz="4" w:val="single"/>
        </w:pBdr>
        <w:spacing w:after="60" w:before="30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c5f8a"/>
          <w:rtl w:val="0"/>
        </w:rPr>
        <w:t xml:space="preserve">V. Opinia uczelnianego opiekuna praktyk o stopniu osiągnięcia efektów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60" w:before="10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bottom w:color="2c5f8a" w:space="1" w:sz="4" w:val="single"/>
        </w:pBdr>
        <w:spacing w:after="60" w:before="26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c5f8a"/>
          <w:rtl w:val="0"/>
        </w:rPr>
        <w:t xml:space="preserve">VI. Ocena praktyk zawodowych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6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Ocena: 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60" w:before="200" w:line="240" w:lineRule="auto"/>
        <w:jc w:val="right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Data, pieczątka i podpis Prodziekana ds. studenckich: 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